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22EA" w14:textId="21F7A918" w:rsidR="001413D7" w:rsidRPr="00EA2252" w:rsidRDefault="004208D9" w:rsidP="00A475CB">
      <w:pPr>
        <w:shd w:val="clear" w:color="auto" w:fill="F4F4F4"/>
        <w:spacing w:after="375" w:line="390" w:lineRule="atLeast"/>
        <w:textAlignment w:val="baseline"/>
        <w:rPr>
          <w:rFonts w:ascii="Tahoma" w:eastAsia="Times New Roman" w:hAnsi="Tahoma" w:cs="Tahoma"/>
          <w:color w:val="4C4C4C"/>
          <w:spacing w:val="5"/>
          <w:sz w:val="20"/>
          <w:szCs w:val="20"/>
          <w:lang w:eastAsia="tr-TR"/>
        </w:rPr>
      </w:pPr>
      <w:r w:rsidRPr="004208D9">
        <w:rPr>
          <w:rFonts w:ascii="Tahoma" w:eastAsia="Times New Roman" w:hAnsi="Tahoma" w:cs="Tahoma"/>
          <w:b/>
          <w:bCs/>
          <w:color w:val="4C4C4C"/>
          <w:spacing w:val="5"/>
          <w:sz w:val="20"/>
          <w:szCs w:val="20"/>
          <w:bdr w:val="none" w:sz="0" w:space="0" w:color="auto" w:frame="1"/>
          <w:lang w:eastAsia="tr-TR"/>
        </w:rPr>
        <w:t xml:space="preserve">Annex-1: Data </w:t>
      </w:r>
      <w:proofErr w:type="spellStart"/>
      <w:r w:rsidRPr="004208D9">
        <w:rPr>
          <w:rFonts w:ascii="Tahoma" w:eastAsia="Times New Roman" w:hAnsi="Tahoma" w:cs="Tahoma"/>
          <w:b/>
          <w:bCs/>
          <w:color w:val="4C4C4C"/>
          <w:spacing w:val="5"/>
          <w:sz w:val="20"/>
          <w:szCs w:val="20"/>
          <w:bdr w:val="none" w:sz="0" w:space="0" w:color="auto" w:frame="1"/>
          <w:lang w:eastAsia="tr-TR"/>
        </w:rPr>
        <w:t>Categorization</w:t>
      </w:r>
      <w:proofErr w:type="spellEnd"/>
    </w:p>
    <w:tbl>
      <w:tblPr>
        <w:tblW w:w="5000" w:type="pct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3667"/>
        <w:gridCol w:w="3648"/>
      </w:tblGrid>
      <w:tr w:rsidR="001413D7" w:rsidRPr="00EA2252" w14:paraId="6CDA22F0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ED" w14:textId="02C7CFD1" w:rsidR="001413D7" w:rsidRPr="00EA2252" w:rsidRDefault="004208D9" w:rsidP="00090D59">
            <w:pPr>
              <w:spacing w:after="0" w:line="330" w:lineRule="atLeast"/>
              <w:jc w:val="center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Data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Category</w:t>
            </w:r>
            <w:proofErr w:type="spellEnd"/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EE" w14:textId="56395A09" w:rsidR="001413D7" w:rsidRPr="00EA2252" w:rsidRDefault="004208D9" w:rsidP="00090D59">
            <w:pPr>
              <w:spacing w:after="0" w:line="330" w:lineRule="atLeast"/>
              <w:jc w:val="center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Description</w:t>
            </w:r>
            <w:proofErr w:type="spellEnd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 Data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Categorization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EF" w14:textId="37DA913D" w:rsidR="001413D7" w:rsidRPr="00EA2252" w:rsidRDefault="004208D9" w:rsidP="00090D59">
            <w:pPr>
              <w:spacing w:after="0" w:line="330" w:lineRule="atLeast"/>
              <w:jc w:val="center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Types</w:t>
            </w:r>
            <w:proofErr w:type="spellEnd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 Data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Relevant</w:t>
            </w:r>
            <w:proofErr w:type="spellEnd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 Data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Categorization</w:t>
            </w:r>
            <w:proofErr w:type="spellEnd"/>
          </w:p>
        </w:tc>
      </w:tr>
      <w:tr w:rsidR="001413D7" w:rsidRPr="00EA2252" w14:paraId="6CDA22F4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1" w14:textId="08004CAC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Identity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2" w14:textId="30CCACB4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Information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contained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documents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such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driver’s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license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identity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card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residence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certificate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passport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attorney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ID,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marriage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certificate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C207A" w14:textId="77777777" w:rsidR="004208D9" w:rsidRPr="004208D9" w:rsidRDefault="004208D9" w:rsidP="004208D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TR ID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number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passport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number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identity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card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serial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number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, name-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surname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photograph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place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birth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birth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age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place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registration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population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registration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sample</w:t>
            </w:r>
            <w:proofErr w:type="spellEnd"/>
          </w:p>
          <w:p w14:paraId="6CDA22F3" w14:textId="4BBC552B" w:rsidR="001413D7" w:rsidRPr="00EA2252" w:rsidRDefault="001413D7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</w:p>
        </w:tc>
      </w:tr>
      <w:tr w:rsidR="001413D7" w:rsidRPr="00EA2252" w14:paraId="6CDA22F8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5" w14:textId="3ADBD877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Contact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6" w14:textId="2B8F57AB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Information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used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communication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with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7" w14:textId="608A7F34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E-mail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address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phone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number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mobile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phone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number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address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.</w:t>
            </w:r>
          </w:p>
        </w:tc>
      </w:tr>
      <w:tr w:rsidR="001413D7" w:rsidRPr="00EA2252" w14:paraId="6CDA22FC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9" w14:textId="5452887F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Family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Members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Relatives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A" w14:textId="38B9170D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Information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about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family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members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relatives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owner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processed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order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protect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legal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interests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relevant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company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subject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A86C3A" w14:textId="77777777" w:rsidR="004208D9" w:rsidRPr="004208D9" w:rsidRDefault="004208D9" w:rsidP="004208D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Identity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contact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professional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educational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owner’s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children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spouse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.</w:t>
            </w:r>
          </w:p>
          <w:p w14:paraId="6CDA22FB" w14:textId="029E36C9" w:rsidR="001413D7" w:rsidRPr="00EA2252" w:rsidRDefault="001413D7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</w:p>
        </w:tc>
      </w:tr>
      <w:tr w:rsidR="001413D7" w:rsidRPr="00EA2252" w14:paraId="6CDA2300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D" w14:textId="36E63473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Customer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/ User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E" w14:textId="5712511C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Information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customers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who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benefit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from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our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products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services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2FF" w14:textId="7E0BF394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Customer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number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profession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.</w:t>
            </w:r>
          </w:p>
        </w:tc>
      </w:tr>
      <w:tr w:rsidR="001413D7" w:rsidRPr="00EA2252" w14:paraId="6CDA2304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1" w14:textId="237DED7C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Customer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/ User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Transaction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>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2" w14:textId="4D49F546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 xml:space="preserve">Information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all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kinds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transactions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carried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out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customers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benefiting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from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our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products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services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3" w14:textId="4062D527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>Requests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instructions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order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cart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.</w:t>
            </w:r>
          </w:p>
        </w:tc>
      </w:tr>
      <w:tr w:rsidR="001413D7" w:rsidRPr="00EA2252" w14:paraId="6CDA2308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5" w14:textId="7D3E3F33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Physical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Space Security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6" w14:textId="1D5705B0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documents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obtained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during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entry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physical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space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during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stay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within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physical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space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7" w14:textId="12340E15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Entry-exit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logs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visitor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camera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.</w:t>
            </w:r>
          </w:p>
        </w:tc>
      </w:tr>
      <w:tr w:rsidR="001413D7" w:rsidRPr="00EA2252" w14:paraId="6CDA230C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9" w14:textId="7FBACE2D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Transaction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Security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A" w14:textId="289D60D1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processed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ensure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technical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administrative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legal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commercial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security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PRIVIA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parties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B" w14:textId="448DBB60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Information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associates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transaction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with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owner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shows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authorized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perform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transaction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e.g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website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password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credential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)</w:t>
            </w:r>
          </w:p>
        </w:tc>
      </w:tr>
      <w:tr w:rsidR="001413D7" w:rsidRPr="00EA2252" w14:paraId="6CDA2310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D" w14:textId="3C6ACD1D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Financial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E" w14:textId="26AA62FB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within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scope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documents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showing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all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kinds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financial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results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created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according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type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legal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relationship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with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owner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0F" w14:textId="7596652A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Information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showing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financial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result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transactions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made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owner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credit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card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debt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loan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amount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loan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payments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payable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interest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amount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rate,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debt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balance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receivable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balance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.</w:t>
            </w:r>
          </w:p>
        </w:tc>
      </w:tr>
      <w:tr w:rsidR="001413D7" w:rsidRPr="00EA2252" w14:paraId="6CDA2314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1" w14:textId="57E2C939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Marketing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2" w14:textId="72BCD2F0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used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PRIVIA in marketing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activities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3" w14:textId="6CC21692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Reports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evaluations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showing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person’s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habits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preferences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collected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marketing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purposes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targeting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cookie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enrichment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activities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.</w:t>
            </w:r>
          </w:p>
        </w:tc>
      </w:tr>
      <w:tr w:rsidR="001413D7" w:rsidRPr="00EA2252" w14:paraId="6CDA2318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5" w14:textId="11E25CCE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 xml:space="preserve">Legal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Transaction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Compliance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6" w14:textId="3FFAD2CE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processed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determination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follow-up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legal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receivables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rights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fulfillment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debts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legal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obligations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7" w14:textId="37E9EA8D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contained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documents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such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court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administrative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authority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decisions</w:t>
            </w:r>
            <w:proofErr w:type="spellEnd"/>
          </w:p>
        </w:tc>
      </w:tr>
      <w:tr w:rsidR="001413D7" w:rsidRPr="00EA2252" w14:paraId="6CDA231C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9" w14:textId="102339FD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Special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Categories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Data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A" w14:textId="4F6C56C4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race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ethnic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origin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political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opinion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philosophical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belief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religion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sect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other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beliefs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clothing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appearance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membership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associations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foundations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trade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unions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health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sexual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life,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criminal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conviction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security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measures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as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well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biometric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genetic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B" w14:textId="0DD90EE3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Race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ethnic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origin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political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opinion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philosophical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belief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religion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sect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other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beliefs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clothing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appearance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association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foundation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trade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union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membership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health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sexual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life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criminal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conviction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security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measures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biometric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genetic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</w:p>
        </w:tc>
      </w:tr>
      <w:tr w:rsidR="001413D7" w:rsidRPr="00EA2252" w14:paraId="6CDA2320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D" w14:textId="000234BF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Request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/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Complaint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Management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E" w14:textId="5BA183E2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receipt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evaluation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all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kinds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requests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complaints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directed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PRIVIA,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1F" w14:textId="50CC866E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All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kinds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requests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complaints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directed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companies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reports</w:t>
            </w:r>
            <w:proofErr w:type="spellEnd"/>
          </w:p>
        </w:tc>
      </w:tr>
      <w:tr w:rsidR="001413D7" w:rsidRPr="00EA2252" w14:paraId="6CDA2324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21" w14:textId="5FCB03E0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Reputation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Management Information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22" w14:textId="0AA58FB4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may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affect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reputation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PRIVIA,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its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shareholders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employees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business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partners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customers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23" w14:textId="1E8A0FB6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negative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news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about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company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social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media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etc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.</w:t>
            </w:r>
          </w:p>
        </w:tc>
      </w:tr>
      <w:tr w:rsidR="001413D7" w:rsidRPr="00EA2252" w14:paraId="6CDA2328" w14:textId="77777777" w:rsidTr="00090D59">
        <w:tc>
          <w:tcPr>
            <w:tcW w:w="20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25" w14:textId="366315C2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Visual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Audio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>Data</w:t>
            </w:r>
          </w:p>
        </w:tc>
        <w:tc>
          <w:tcPr>
            <w:tcW w:w="368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26" w14:textId="263F98F2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 xml:space="preserve">Visual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audio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associated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>with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owner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clearly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belonging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included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36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27" w14:textId="3F05A0AE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>Photographs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camera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lastRenderedPageBreak/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audio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recordings</w:t>
            </w:r>
            <w:proofErr w:type="spellEnd"/>
          </w:p>
        </w:tc>
      </w:tr>
    </w:tbl>
    <w:p w14:paraId="0C51BA8A" w14:textId="7BDB4925" w:rsidR="001413D7" w:rsidRPr="00EA2252" w:rsidRDefault="00A475CB" w:rsidP="00A475CB">
      <w:pPr>
        <w:rPr>
          <w:rFonts w:ascii="Tahoma" w:eastAsia="Times New Roman" w:hAnsi="Tahoma" w:cs="Tahoma"/>
          <w:color w:val="4C4C4C"/>
          <w:spacing w:val="5"/>
          <w:sz w:val="20"/>
          <w:szCs w:val="20"/>
          <w:lang w:eastAsia="tr-TR"/>
        </w:rPr>
      </w:pPr>
      <w:r>
        <w:rPr>
          <w:rFonts w:ascii="Tahoma" w:eastAsia="Times New Roman" w:hAnsi="Tahoma" w:cs="Tahoma"/>
          <w:color w:val="4C4C4C"/>
          <w:spacing w:val="5"/>
          <w:sz w:val="20"/>
          <w:szCs w:val="20"/>
          <w:lang w:eastAsia="tr-TR"/>
        </w:rPr>
        <w:lastRenderedPageBreak/>
        <w:br w:type="page"/>
      </w:r>
    </w:p>
    <w:tbl>
      <w:tblPr>
        <w:tblW w:w="5017" w:type="pct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264"/>
      </w:tblGrid>
      <w:tr w:rsidR="001413D7" w:rsidRPr="00EA2252" w14:paraId="6CDA232B" w14:textId="77777777" w:rsidTr="00913797">
        <w:trPr>
          <w:trHeight w:val="314"/>
        </w:trPr>
        <w:tc>
          <w:tcPr>
            <w:tcW w:w="9404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CDA232A" w14:textId="501772EE" w:rsidR="001413D7" w:rsidRPr="00EA2252" w:rsidRDefault="004208D9" w:rsidP="001413D7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 xml:space="preserve">Annex-2: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Definitions</w:t>
            </w:r>
            <w:proofErr w:type="spellEnd"/>
          </w:p>
        </w:tc>
      </w:tr>
      <w:tr w:rsidR="001413D7" w:rsidRPr="00EA2252" w14:paraId="6CDA232E" w14:textId="77777777" w:rsidTr="00913797">
        <w:trPr>
          <w:trHeight w:val="310"/>
        </w:trPr>
        <w:tc>
          <w:tcPr>
            <w:tcW w:w="31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2C" w14:textId="5B86AC67" w:rsidR="001413D7" w:rsidRPr="00EA2252" w:rsidRDefault="004208D9" w:rsidP="00090D59">
            <w:pPr>
              <w:spacing w:after="0" w:line="330" w:lineRule="atLeast"/>
              <w:jc w:val="center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Term</w:t>
            </w:r>
            <w:proofErr w:type="spellEnd"/>
          </w:p>
        </w:tc>
        <w:tc>
          <w:tcPr>
            <w:tcW w:w="62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2D" w14:textId="76CD763F" w:rsidR="001413D7" w:rsidRPr="00EA2252" w:rsidRDefault="004208D9" w:rsidP="00090D59">
            <w:pPr>
              <w:spacing w:after="0" w:line="330" w:lineRule="atLeast"/>
              <w:jc w:val="center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Definition in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b/>
                <w:bCs/>
                <w:color w:val="4C4C4C"/>
                <w:spacing w:val="5"/>
                <w:sz w:val="20"/>
                <w:szCs w:val="20"/>
                <w:bdr w:val="none" w:sz="0" w:space="0" w:color="auto" w:frame="1"/>
                <w:lang w:eastAsia="tr-TR"/>
              </w:rPr>
              <w:t>Law</w:t>
            </w:r>
            <w:proofErr w:type="spellEnd"/>
          </w:p>
        </w:tc>
      </w:tr>
      <w:tr w:rsidR="001413D7" w:rsidRPr="00EA2252" w14:paraId="6CDA2331" w14:textId="77777777" w:rsidTr="00913797">
        <w:trPr>
          <w:trHeight w:val="629"/>
        </w:trPr>
        <w:tc>
          <w:tcPr>
            <w:tcW w:w="31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2F" w14:textId="3B5DD46A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Explicit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consent</w:t>
            </w:r>
            <w:proofErr w:type="spellEnd"/>
          </w:p>
        </w:tc>
        <w:tc>
          <w:tcPr>
            <w:tcW w:w="62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30" w14:textId="453234A0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Consent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specific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subject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based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expressed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with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free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will</w:t>
            </w:r>
            <w:proofErr w:type="spellEnd"/>
          </w:p>
        </w:tc>
      </w:tr>
      <w:tr w:rsidR="001413D7" w:rsidRPr="00EA2252" w14:paraId="6CDA2334" w14:textId="77777777" w:rsidTr="00913797">
        <w:trPr>
          <w:trHeight w:val="944"/>
        </w:trPr>
        <w:tc>
          <w:tcPr>
            <w:tcW w:w="31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32" w14:textId="63DEA4EB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Anonymization</w:t>
            </w:r>
            <w:proofErr w:type="spellEnd"/>
          </w:p>
        </w:tc>
        <w:tc>
          <w:tcPr>
            <w:tcW w:w="62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33" w14:textId="74CAE17C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Making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such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it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cannot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associated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with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way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even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matching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with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other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</w:p>
        </w:tc>
      </w:tr>
      <w:tr w:rsidR="00913797" w:rsidRPr="00EA2252" w14:paraId="40BBA22A" w14:textId="77777777" w:rsidTr="00913797">
        <w:trPr>
          <w:trHeight w:val="629"/>
        </w:trPr>
        <w:tc>
          <w:tcPr>
            <w:tcW w:w="31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79DCBB" w14:textId="3D75E5EC" w:rsidR="00913797" w:rsidRPr="004208D9" w:rsidRDefault="00913797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gram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subject</w:t>
            </w:r>
            <w:proofErr w:type="spellEnd"/>
          </w:p>
        </w:tc>
        <w:tc>
          <w:tcPr>
            <w:tcW w:w="62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15C88D" w14:textId="3437CB15" w:rsidR="00913797" w:rsidRPr="004208D9" w:rsidRDefault="00913797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whose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processed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referred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as “data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owner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” in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Policy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)</w:t>
            </w:r>
          </w:p>
        </w:tc>
      </w:tr>
      <w:tr w:rsidR="001413D7" w:rsidRPr="00EA2252" w14:paraId="6CDA2337" w14:textId="77777777" w:rsidTr="00913797">
        <w:trPr>
          <w:trHeight w:val="629"/>
        </w:trPr>
        <w:tc>
          <w:tcPr>
            <w:tcW w:w="31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35" w14:textId="41DB6B62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</w:p>
        </w:tc>
        <w:tc>
          <w:tcPr>
            <w:tcW w:w="62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36" w14:textId="4EDFAD50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information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related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identifiable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</w:p>
        </w:tc>
      </w:tr>
      <w:tr w:rsidR="001413D7" w:rsidRPr="00EA2252" w14:paraId="6CDA233A" w14:textId="77777777" w:rsidTr="00913797">
        <w:trPr>
          <w:trHeight w:val="629"/>
        </w:trPr>
        <w:tc>
          <w:tcPr>
            <w:tcW w:w="31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38" w14:textId="3E80B373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Processing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</w:p>
        </w:tc>
        <w:tc>
          <w:tcPr>
            <w:tcW w:w="62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A2339" w14:textId="32D1FB8A" w:rsidR="001413D7" w:rsidRPr="00EA2252" w:rsidRDefault="004208D9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operation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performed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on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such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as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obtaining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storing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preserving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changing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reorganizing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disclosing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transferring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taking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over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making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available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classifying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preventing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use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wholly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partially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automatic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means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by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non-automatic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means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provided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that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it is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part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a </w:t>
            </w:r>
            <w:proofErr w:type="gram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08D9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</w:tr>
      <w:tr w:rsidR="001413D7" w:rsidRPr="00EA2252" w14:paraId="6CDA233D" w14:textId="77777777" w:rsidTr="00913797">
        <w:trPr>
          <w:trHeight w:val="2518"/>
        </w:trPr>
        <w:tc>
          <w:tcPr>
            <w:tcW w:w="31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A233B" w14:textId="059586E2" w:rsidR="001413D7" w:rsidRPr="00EA2252" w:rsidRDefault="00913797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gram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</w:p>
        </w:tc>
        <w:tc>
          <w:tcPr>
            <w:tcW w:w="62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A233C" w14:textId="76281478" w:rsidR="001413D7" w:rsidRPr="00EA2252" w:rsidRDefault="00913797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which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processed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by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structuring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according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to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specific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criteria</w:t>
            </w:r>
            <w:proofErr w:type="spellEnd"/>
          </w:p>
        </w:tc>
      </w:tr>
      <w:tr w:rsidR="001413D7" w:rsidRPr="00EA2252" w14:paraId="6CDA2340" w14:textId="77777777" w:rsidTr="00913797">
        <w:trPr>
          <w:trHeight w:val="629"/>
        </w:trPr>
        <w:tc>
          <w:tcPr>
            <w:tcW w:w="31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A233E" w14:textId="3EC188BC" w:rsidR="001413D7" w:rsidRPr="00EA2252" w:rsidRDefault="00913797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gram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controller</w:t>
            </w:r>
          </w:p>
        </w:tc>
        <w:tc>
          <w:tcPr>
            <w:tcW w:w="62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A233F" w14:textId="13F64E3D" w:rsidR="001413D7" w:rsidRPr="00EA2252" w:rsidRDefault="00913797" w:rsidP="00090D59">
            <w:pPr>
              <w:spacing w:after="0" w:line="330" w:lineRule="atLeast"/>
              <w:textAlignment w:val="baseline"/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</w:pP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natural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or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legal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who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determines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purposes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means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processing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personal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responsible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for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establishment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and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management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the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data</w:t>
            </w:r>
            <w:proofErr w:type="gram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recording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>system</w:t>
            </w:r>
            <w:proofErr w:type="spellEnd"/>
            <w:r w:rsidRPr="00913797">
              <w:rPr>
                <w:rFonts w:ascii="Tahoma" w:eastAsia="Times New Roman" w:hAnsi="Tahoma" w:cs="Tahoma"/>
                <w:color w:val="4C4C4C"/>
                <w:spacing w:val="5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6CDA2344" w14:textId="77777777" w:rsidR="005E3C4D" w:rsidRPr="00EA2252" w:rsidRDefault="005E3C4D">
      <w:pPr>
        <w:rPr>
          <w:rFonts w:ascii="Tahoma" w:hAnsi="Tahoma" w:cs="Tahoma"/>
          <w:sz w:val="20"/>
          <w:szCs w:val="20"/>
        </w:rPr>
      </w:pPr>
    </w:p>
    <w:sectPr w:rsidR="005E3C4D" w:rsidRPr="00EA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F968" w14:textId="77777777" w:rsidR="00650B87" w:rsidRDefault="00650B87" w:rsidP="00E91A0F">
      <w:pPr>
        <w:spacing w:after="0" w:line="240" w:lineRule="auto"/>
      </w:pPr>
      <w:r>
        <w:separator/>
      </w:r>
    </w:p>
  </w:endnote>
  <w:endnote w:type="continuationSeparator" w:id="0">
    <w:p w14:paraId="5B3BA2D1" w14:textId="77777777" w:rsidR="00650B87" w:rsidRDefault="00650B87" w:rsidP="00E9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91BC" w14:textId="77777777" w:rsidR="00650B87" w:rsidRDefault="00650B87" w:rsidP="00E91A0F">
      <w:pPr>
        <w:spacing w:after="0" w:line="240" w:lineRule="auto"/>
      </w:pPr>
      <w:r>
        <w:separator/>
      </w:r>
    </w:p>
  </w:footnote>
  <w:footnote w:type="continuationSeparator" w:id="0">
    <w:p w14:paraId="507A7F13" w14:textId="77777777" w:rsidR="00650B87" w:rsidRDefault="00650B87" w:rsidP="00E91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771"/>
    <w:multiLevelType w:val="multilevel"/>
    <w:tmpl w:val="610A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E25FA"/>
    <w:multiLevelType w:val="multilevel"/>
    <w:tmpl w:val="5CF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856B0"/>
    <w:multiLevelType w:val="multilevel"/>
    <w:tmpl w:val="B772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C10C8"/>
    <w:multiLevelType w:val="multilevel"/>
    <w:tmpl w:val="E170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77BB2"/>
    <w:multiLevelType w:val="multilevel"/>
    <w:tmpl w:val="6F90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66B23"/>
    <w:multiLevelType w:val="multilevel"/>
    <w:tmpl w:val="E5D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C33F7"/>
    <w:multiLevelType w:val="multilevel"/>
    <w:tmpl w:val="AB4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A5A28"/>
    <w:multiLevelType w:val="multilevel"/>
    <w:tmpl w:val="F080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7534D"/>
    <w:multiLevelType w:val="multilevel"/>
    <w:tmpl w:val="FF28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109FC"/>
    <w:multiLevelType w:val="multilevel"/>
    <w:tmpl w:val="8CBE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464EB"/>
    <w:multiLevelType w:val="multilevel"/>
    <w:tmpl w:val="BF80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43093"/>
    <w:multiLevelType w:val="multilevel"/>
    <w:tmpl w:val="45D6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152F6"/>
    <w:multiLevelType w:val="multilevel"/>
    <w:tmpl w:val="DA22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335FA"/>
    <w:multiLevelType w:val="multilevel"/>
    <w:tmpl w:val="0B4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A0928"/>
    <w:multiLevelType w:val="multilevel"/>
    <w:tmpl w:val="D70A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725BE"/>
    <w:multiLevelType w:val="multilevel"/>
    <w:tmpl w:val="5B182B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537749">
    <w:abstractNumId w:val="6"/>
  </w:num>
  <w:num w:numId="2" w16cid:durableId="490877459">
    <w:abstractNumId w:val="9"/>
  </w:num>
  <w:num w:numId="3" w16cid:durableId="1888251569">
    <w:abstractNumId w:val="13"/>
  </w:num>
  <w:num w:numId="4" w16cid:durableId="1615750984">
    <w:abstractNumId w:val="5"/>
  </w:num>
  <w:num w:numId="5" w16cid:durableId="809057485">
    <w:abstractNumId w:val="12"/>
  </w:num>
  <w:num w:numId="6" w16cid:durableId="1457724441">
    <w:abstractNumId w:val="2"/>
  </w:num>
  <w:num w:numId="7" w16cid:durableId="918833673">
    <w:abstractNumId w:val="15"/>
  </w:num>
  <w:num w:numId="8" w16cid:durableId="446240507">
    <w:abstractNumId w:val="7"/>
  </w:num>
  <w:num w:numId="9" w16cid:durableId="1350794282">
    <w:abstractNumId w:val="8"/>
  </w:num>
  <w:num w:numId="10" w16cid:durableId="218516069">
    <w:abstractNumId w:val="11"/>
  </w:num>
  <w:num w:numId="11" w16cid:durableId="330135538">
    <w:abstractNumId w:val="4"/>
  </w:num>
  <w:num w:numId="12" w16cid:durableId="917326807">
    <w:abstractNumId w:val="14"/>
  </w:num>
  <w:num w:numId="13" w16cid:durableId="1180700401">
    <w:abstractNumId w:val="0"/>
  </w:num>
  <w:num w:numId="14" w16cid:durableId="560681057">
    <w:abstractNumId w:val="10"/>
  </w:num>
  <w:num w:numId="15" w16cid:durableId="31616229">
    <w:abstractNumId w:val="3"/>
  </w:num>
  <w:num w:numId="16" w16cid:durableId="169889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D7"/>
    <w:rsid w:val="00090D59"/>
    <w:rsid w:val="000C68F9"/>
    <w:rsid w:val="00101D38"/>
    <w:rsid w:val="001413D7"/>
    <w:rsid w:val="004208D9"/>
    <w:rsid w:val="005E3C4D"/>
    <w:rsid w:val="00650B87"/>
    <w:rsid w:val="00780268"/>
    <w:rsid w:val="007D2733"/>
    <w:rsid w:val="00913797"/>
    <w:rsid w:val="00A475CB"/>
    <w:rsid w:val="00D15DE9"/>
    <w:rsid w:val="00E91A0F"/>
    <w:rsid w:val="00EA2252"/>
    <w:rsid w:val="00EB093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2240"/>
  <w15:docId w15:val="{54AAC98B-49CA-4FE6-984A-A55186FA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8026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9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1A0F"/>
  </w:style>
  <w:style w:type="paragraph" w:styleId="AltBilgi">
    <w:name w:val="footer"/>
    <w:basedOn w:val="Normal"/>
    <w:link w:val="AltBilgiChar"/>
    <w:uiPriority w:val="99"/>
    <w:unhideWhenUsed/>
    <w:rsid w:val="00E9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Ek-1: Veri Kategorizasyonu</vt:lpstr>
    </vt:vector>
  </TitlesOfParts>
  <Company>Privia Security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Ek-1: Veri Kategorizasyonu</dc:title>
  <dc:subject>Privia Security Veri Güvenliği Politikası</dc:subject>
  <dc:creator>Privia Security</dc:creator>
  <cp:lastModifiedBy>Eyüp Ç.</cp:lastModifiedBy>
  <cp:revision>6</cp:revision>
  <dcterms:created xsi:type="dcterms:W3CDTF">2020-03-08T19:10:00Z</dcterms:created>
  <dcterms:modified xsi:type="dcterms:W3CDTF">2026-05-04T17:31:00Z</dcterms:modified>
</cp:coreProperties>
</file>